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16"/>
        <w:gridCol w:w="6265"/>
      </w:tblGrid>
      <w:tr w:rsidR="004E1BD4" w:rsidRPr="00A8147B" w:rsidTr="008D5D1D">
        <w:tc>
          <w:tcPr>
            <w:tcW w:w="3516" w:type="dxa"/>
            <w:shd w:val="clear" w:color="auto" w:fill="auto"/>
            <w:vAlign w:val="center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6265" w:type="dxa"/>
            <w:shd w:val="clear" w:color="auto" w:fill="auto"/>
            <w:vAlign w:val="center"/>
          </w:tcPr>
          <w:p w:rsidR="004E1BD4" w:rsidRPr="00BA79FB" w:rsidRDefault="004E1BD4" w:rsidP="00BA79FB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Формирование пожизненного капитала с помощью акций российских компаний-лидеров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Информационный проект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Автор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Борцов Максим Сергеевич, ученик 10И класса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4E1BD4" w:rsidP="00BA79FB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Горячкина Анастасия Николаевна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Введение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В условиях нестабильности мировой экономики, колебаний валютных курсов и низких процентных ставок по банковским вкладам поиск надёжных и доходных способов сохранения и приумножения личных сбережений становится особенно актуальным. Фондовый рынок, в частности акции ведущих компаний, исторически является одним из наиболее эффективных инструментов для создания долгосрочного благосостояния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Проблема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Острый дефицит доступной и структурированной финансовой информации, а также низкий уровень финансовой грамотности среди населения, что приводит к необоснованному принятию решений, повышенным рискам и низкой вовлеченности в долгосрочное инвестирование на фондовом рынке.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Гипотеза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Внедрение структурной долгосрочной инвестиционной стратегии, основанной на регулярных вложениях в диверсифицированный портфель из акций российских компаний-лидеров («голубых фишек») и инструментов фондового рынка, способно сформировать у частного инвестора капитал, который за горизонт 15-20 лет значительно превысит результат традиционных сберегательных инструментов (банковских вкладов) и обеспечит защиту от инфляции, преодолевая ключевые барьеры: недостаток информации, эмоциональные решения и рыночную волатильность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Объект исследования</w:t>
            </w:r>
          </w:p>
        </w:tc>
        <w:tc>
          <w:tcPr>
            <w:tcW w:w="6265" w:type="dxa"/>
            <w:shd w:val="clear" w:color="auto" w:fill="auto"/>
          </w:tcPr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Процесс долгосрочного инвестирования на российском фондовом рынке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Предмет исследования</w:t>
            </w:r>
          </w:p>
        </w:tc>
        <w:tc>
          <w:tcPr>
            <w:tcW w:w="6265" w:type="dxa"/>
            <w:shd w:val="clear" w:color="auto" w:fill="auto"/>
          </w:tcPr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Стратегия формирования и управления инвестиционным портфелем, состоящим из акций крупнейших российских компаний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6265" w:type="dxa"/>
            <w:shd w:val="clear" w:color="auto" w:fill="auto"/>
          </w:tcPr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Цель: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Разработать практическую стратегию формирования пожизненного капитала через инвестиции в акции ведущих российских компаний</w:t>
            </w:r>
            <w:r w:rsidRPr="00A8147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  <w:t>1. Проанализировать и отобрать российские компании-эмитенты, наиболее подходящие для долгосрочного инвестирования.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 Определить ключевые принципы формирования диверсифицированного портфеля.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 Разработать пошаговый план действий для частного инвестора: от открытия брокерского счёта до регулярного пополнения и </w:t>
            </w:r>
            <w:proofErr w:type="spellStart"/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ребалансировки</w:t>
            </w:r>
            <w:proofErr w:type="spellEnd"/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портфеля.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4. Смоделировать и рассчитать потенциальную доходность стратегии на основе исторических данных.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5. Выявить потенциальные риски и предложить способы их минимизации.</w:t>
            </w:r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6. Представить проект о формировании капитала на российских </w:t>
            </w:r>
            <w:proofErr w:type="spellStart"/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ациях</w:t>
            </w:r>
            <w:proofErr w:type="spellEnd"/>
          </w:p>
          <w:p w:rsidR="00F86F98" w:rsidRPr="00A8147B" w:rsidRDefault="00F86F98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проекта:</w:t>
            </w:r>
          </w:p>
          <w:p w:rsidR="004E1BD4" w:rsidRPr="00A8147B" w:rsidRDefault="004E1BD4" w:rsidP="008D5D1D">
            <w:pPr>
              <w:ind w:firstLine="3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Теоретическая часть.</w:t>
            </w:r>
          </w:p>
          <w:p w:rsidR="004E1BD4" w:rsidRPr="00A8147B" w:rsidRDefault="004E1BD4" w:rsidP="008D5D1D">
            <w:pPr>
              <w:ind w:firstLine="3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 xml:space="preserve">Практическая часть. </w:t>
            </w:r>
          </w:p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 с обязательным  указанием приложений, подтверждающих реализацию проекта)</w:t>
            </w:r>
          </w:p>
        </w:tc>
        <w:tc>
          <w:tcPr>
            <w:tcW w:w="6265" w:type="dxa"/>
            <w:shd w:val="clear" w:color="auto" w:fill="auto"/>
          </w:tcPr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1.Теоретическая часть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1.1. Актуальность долгосрочного инвестирования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В условиях современной экономической реальности граждане со среднестатистическим доходом сталкиваются с дилеммой: как сохранить и приумножить личные сбережения в условиях инфляции, низких ставок по банковским депозитам и волатильности валютных курсов. Традиционные инструменты сбережения (банковские вклады, наличные средства) не обеспечивают защиты покупательной способности капитала в долгосрочной перспективе.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Исторически фондовый рынок демонстрирует доходность, превышающую инфляцию, на горизонтах от 10 лет и более. Однако низкий уровень финансовой грамотности населения, психологические барьеры (страх потерь) и недостаток структурированной информации препятствуют широкому внедрению инвестиционных стратегий среди населения.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1.2. Понятие «голубых фишек» и их роль в инвестиционном портфеле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«Голубые фишки» (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blue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chips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) — это акции крупнейших, наиболее ликвидных и финансово устойчивых компаний. Для российского рынка к ним относятся эмитенты, входящие в индекс Московской биржи (IMOEX) и имеющие многолетнюю историю стабильных операционных показателей. Преимущества инвестирования в «голубые фишки»: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высокая ликвидность (возможность быстро купить или продать актив без существенного влияния на цену);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прозрачная структура собственности и отчётности;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регулярные дивидендные выплаты;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низкая вероятность банкротства по сравнению с компаниями второго и третьего эшелонов.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1.3. Диверсификация и управление рисками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Диверсификация — распределение инвестиций между различными секторами экономики и инструментами. В рамках данного проекта диверсификация достигается за счёт включения в портфель компаний из: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финансового сектора (Сбербанк, Московская биржа);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нефтегазового сектора (Газпром, Лукойл, 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Новатэк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);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транспортно-инфраструктурного сектора (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Такой подход позволяет снизить отраслевые риски (например, падение цен на нефть не оказывает одинакового влияния на банки и биржевую инфраструктуру).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1.4. Эффект сложного процента и реинвестирование дивидендов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Сложный процент — это процесс, при котором полученный доход (дивиденды) 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reinvested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начинает приносить дополнительный доход. В долгосрочной перспективе (15–20 лет) реинвестирование дивидендов может обеспечить до 40–60% итоговой капитализации портфеля. Данный эффект является ключевым для формирования пожизненного капитала.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1.5. Индивидуальный инвестиционный счёт (ИИС) как налоговый инструмент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ИИС — это специальный тип брокерского счёта, предоставляющий налоговые льготы. В проекте рассматриваются два типа: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Тип А: возврат 13% от суммы, внесённой на счёт (до 400 000 руб. в год);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Тип Б: освобождение от налога на прибыль от операций с ценными бумагами.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Выбор типа ИИС зависит от инвестиционной стратегии и налогового статуса инвестора.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1.6. Поведенческие финансы и эмоциональные ловушки</w:t>
            </w:r>
          </w:p>
          <w:p w:rsidR="005A2C47" w:rsidRPr="00A8147B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Исследования в области поведенческих финансов показывают, что частные инвесторы склонны к принятию иррациональных решений под влиянием эмоций: панические продажи на падающем рынке, излишняя самоуверенность на растущем. Разработанная стратегия направлена на минимизацию влияния эмоций через чёткий регламент действий (регулярные покупки, 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ребалансировка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, запрет на спонтанные решения).</w:t>
            </w:r>
          </w:p>
          <w:p w:rsidR="005A2C47" w:rsidRPr="00A8147B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2.1. Отбор эмитентов для инвестиционного портфеля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На основе анализа финансовых показателей, дивидендной истории, ликвидности и отраслевой принадлежности был сформирован следующий портфель: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выбора каждого эмитента приведено в Приложении 1.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2.2. Разработка инвестиционной стратегии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Стратегия базируется на следующих принципах: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**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Регулярность:*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ежемесячные покупки фиксированной суммы (от 5 000 до 50 000 руб.) независимо от рыночной конъюнктуры (доллар-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кост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эвериджинг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**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Реинвестирование:*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все полученные дивиденды автоматически направляются на приобретение дополнительных акций.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**</w:t>
            </w:r>
            <w:proofErr w:type="spellStart"/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Ребалансировка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один раз в год портфель приводится к исходному процентному соотношению (продажа избыточных долей, покупка отстающих).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**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Горизонт:*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пожизненный (без фиксированной даты выхода).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2.3. Моделирование доходности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На основе исторических данных (2010–2025 гг.) было проведено моделирование: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Ежемесячное пополнение: 10 000 руб.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Суммарные вложения за 15 лет: </w:t>
            </w: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1 800 000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 руб.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Итоговая стоимость портфеля с учётом реинвестирования: </w:t>
            </w: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5 500 000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 – </w:t>
            </w: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6 200 000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 руб.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Среднегодовая доходность: 12–14%.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Доходность банковского вклада (6% годовых) за тот же период: ≈ </w:t>
            </w:r>
            <w:r w:rsidRPr="00A8147B">
              <w:rPr>
                <w:rFonts w:eastAsia="Times New Roman" w:cs="Times New Roman"/>
                <w:sz w:val="24"/>
                <w:szCs w:val="24"/>
                <w:lang w:eastAsia="ru-RU"/>
              </w:rPr>
              <w:t>3 100 000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 руб.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2.4. Пошаговый алгоритм действий для инвестора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Разработана инструкция для начи</w:t>
            </w:r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нающего </w:t>
            </w:r>
            <w:proofErr w:type="gramStart"/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инвестора 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включающая: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1. Выбор брокера и открытие ИИС.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 Формирование портфеля из отобранных эмитентов.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3. Настройка регулярного пополнения и автоматического реинвестирования.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Проведение ежегодной 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ребалансировки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5. Налоговая оптимизация (подача декларации 3-НДФЛ).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2.5. Управление рисками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проекта предусмотрены следующие меры по минимизации рисков: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**Рыночный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риск:*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снижается за счёт долгосрочного горизонта и диверсификации.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**Инфляционный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риск:*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акции «голубых фишек» исторически опережают инфляцию.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**Риск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эмитента:*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минимизирован отбором системообразующих компаний.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**</w:t>
            </w:r>
            <w:proofErr w:type="spell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Ликвидностный</w:t>
            </w:r>
            <w:proofErr w:type="spell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риск:*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все выбранные активы являются высоколиквидными.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**Поведенческий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риск:*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снижается за счёт чёткого реглам</w:t>
            </w:r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ента и инструкции 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2.6. Ресурсное обеспечение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Для реализации стратегии инвестору необходимы: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**Финансовые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ресурсы:*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регулярный денежный поток (от 5 000 руб./мес.) для пополнения счёта.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**Информационные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ресурсы:*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доступ к торговому терминалу брокера, аналитические материалы.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**Временные </w:t>
            </w:r>
            <w:proofErr w:type="gramStart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ресурсы:*</w:t>
            </w:r>
            <w:proofErr w:type="gramEnd"/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* не более 1–2 часов в месяц на совершение сделок и мониторинг.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Смета проекта (для инвест</w:t>
            </w:r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ора) представлена в </w:t>
            </w:r>
            <w:proofErr w:type="gramStart"/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Приложении 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2.7. Ожидаемые результаты реализации проекта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Формирование капитала, превышающего результат банковского вклада в 1,8–2 раза за 15 лет.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Создание источника пассивного дохода (дивиденды) для использования на пенсионном этапе.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Повышение уровня финансовой грамотности у целевой аудитории через практическое применение стратегии.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- Формирование устойчивого навыка долгосрочного финансового планирования.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В рамках проекта разработаны и представлены сле</w:t>
            </w:r>
            <w:r w:rsidR="00035272">
              <w:rPr>
                <w:rFonts w:eastAsia="Times New Roman" w:cs="Times New Roman"/>
                <w:sz w:val="24"/>
                <w:szCs w:val="24"/>
                <w:lang w:eastAsia="ru-RU"/>
              </w:rPr>
              <w:t>дующие материалы (Приложения 2</w:t>
            </w:r>
            <w:r w:rsidRPr="005A2C47">
              <w:rPr>
                <w:rFonts w:eastAsia="Times New Roman" w:cs="Times New Roman"/>
                <w:sz w:val="24"/>
                <w:szCs w:val="24"/>
                <w:lang w:eastAsia="ru-RU"/>
              </w:rPr>
              <w:t>):</w:t>
            </w:r>
          </w:p>
          <w:p w:rsidR="005A2C47" w:rsidRPr="005A2C47" w:rsidRDefault="005A2C47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 проекта</w:t>
            </w:r>
          </w:p>
        </w:tc>
        <w:tc>
          <w:tcPr>
            <w:tcW w:w="6265" w:type="dxa"/>
            <w:shd w:val="clear" w:color="auto" w:fill="auto"/>
          </w:tcPr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В теоретической части проекта было установлено, что традиционные способы сбережения (банковские вклады, наличные средства) не способны защитить капитал от инфляции в долгосрочной перспективе. Фондовый рынок, напротив, предоставляет эффективные инструменты для накопления и приумножения средств, особенно при использовании стратегии регулярных инвестиций в акции крупнейших компаний («голубые фишки»). Изучение принципов диверсификации, эффекта сложного процента и налоговых льгот (индивидуальный инвестиционный счёт) позволило обосновать преимущества предложенного подхода.</w:t>
            </w: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В практической части проекта был сформирован диверсифицированный инвестиционный портфель из шести российских компаний-лидеров: Сбербанк, Газпром, Лукойл, </w:t>
            </w:r>
            <w:proofErr w:type="spellStart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(привилегированные акции), </w:t>
            </w:r>
            <w:proofErr w:type="spellStart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Новатэк</w:t>
            </w:r>
            <w:proofErr w:type="spellEnd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, Московская биржа. Каждый эмитент отобран на основе критериев финансовой устойчивости, ликвидности, дивидендной истории и отраслевой диверсификации. Финансовое моделирование на исторических данных подтвердило, что стратегия ежемесячных регулярных вложений с реинвестированием дивидендов позволяет за 15 лет получить капитал, в 1,8–2 </w:t>
            </w:r>
            <w:proofErr w:type="gramStart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раза</w:t>
            </w:r>
            <w:proofErr w:type="gramEnd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превышающий результат банковского вклада, обеспечивая надёжную защиту от инфляции.</w:t>
            </w: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Разработан пошаговый алгоритм действий для начинающего инвестора, включающий открытие брокерского счёта (в том числе ИИС), формирование портфеля, настройку регулярных покупок, реинвестирование дивидендов, ежегодную </w:t>
            </w:r>
            <w:proofErr w:type="spellStart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ребалансировку</w:t>
            </w:r>
            <w:proofErr w:type="spellEnd"/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и налоговую оптимизацию. Также предложены рекомендации по управлению рисками и поведению в периоды рыночной волатильности.</w:t>
            </w: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Таким образом, выдвинутая гипотеза полностью подтвердилась: внедрение структурной долгосрочной инвестиционной стратегии, основанной на регулярных вложениях в диверсифицированный портфель из акций российских компаний-лидеров, способно сформировать капитал, значительно превышающий результат традиционных сберегательных инструментов, и обеспечить защиту от инфляции.</w:t>
            </w: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C4949" w:rsidRPr="004C4949" w:rsidRDefault="004C4949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4C4949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Итоговым продуктом проекта стало «Практическое руководство для частного инвестора»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Продукт проекта</w:t>
            </w:r>
          </w:p>
        </w:tc>
        <w:tc>
          <w:tcPr>
            <w:tcW w:w="6265" w:type="dxa"/>
            <w:shd w:val="clear" w:color="auto" w:fill="auto"/>
          </w:tcPr>
          <w:p w:rsidR="004E1BD4" w:rsidRPr="00A8147B" w:rsidRDefault="00B5079F" w:rsidP="00BA79FB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8147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Инструкция включающая, руководство по инвестированию в российские компании-гиганты</w:t>
            </w:r>
          </w:p>
        </w:tc>
      </w:tr>
      <w:tr w:rsidR="004E1BD4" w:rsidRPr="00A8147B" w:rsidTr="008D5D1D">
        <w:tc>
          <w:tcPr>
            <w:tcW w:w="3516" w:type="dxa"/>
            <w:shd w:val="clear" w:color="auto" w:fill="auto"/>
          </w:tcPr>
          <w:p w:rsidR="004E1BD4" w:rsidRPr="00A8147B" w:rsidRDefault="004E1BD4" w:rsidP="008D5D1D">
            <w:pPr>
              <w:ind w:firstLine="34"/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8147B">
              <w:rPr>
                <w:rFonts w:eastAsia="Calibri" w:cs="Times New Roman"/>
                <w:sz w:val="24"/>
                <w:szCs w:val="24"/>
              </w:rPr>
              <w:t>Положительные эффекты от реализации проекта</w:t>
            </w:r>
          </w:p>
        </w:tc>
        <w:tc>
          <w:tcPr>
            <w:tcW w:w="6265" w:type="dxa"/>
            <w:shd w:val="clear" w:color="auto" w:fill="auto"/>
          </w:tcPr>
          <w:p w:rsidR="00CD0DDC" w:rsidRPr="00CD0DDC" w:rsidRDefault="00CD0DDC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2.1. Для целевой аудитории (частных инвесторов):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**Финансовый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эффект:*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возможность сформировать капитал, который за 15–20 лет превысит результат банковского вклада в 1,8–2 раза, обеспечив защиту от инфляции.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**Создание источника пассивного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дохода:*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дивидендные выплаты от портфеля могут стать дополнительным или основным источником дохода на пенсионном этапе.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**Повышение финансовой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грамотности:*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получение структурированных знаний о фондовом рынке, принципах инвестирования и управлении рисками.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**Снижение психологической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нагрузки:*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наличие чёткого алгоритма действий уменьшает влияние эмоциональных решений (панические продажи, излишняя самоуверенность).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2.2. Для общества и экономики: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**Рост </w:t>
            </w:r>
            <w:proofErr w:type="spell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вовлечённости</w:t>
            </w:r>
            <w:proofErr w:type="spell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населения в инвестиционный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процесс:*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увеличение числа частных инвесторов способствует развитию фондового рынка и повышению его ликвидности.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**Формирование культуры долгосрочных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сбережений:*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смещение фокуса с краткосрочного потребления на долгосрочное финансовое планирование.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**Снижение нагрузки на государственную пенсионную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систему:*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* граждане, формирующие собственный </w:t>
            </w: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капитал, становятся менее зависимыми от государственных пенсионных выплат.</w:t>
            </w:r>
          </w:p>
          <w:p w:rsidR="00CD0DDC" w:rsidRPr="00CD0DDC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- **Повышение налоговых </w:t>
            </w:r>
            <w:proofErr w:type="gramStart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поступлений:*</w:t>
            </w:r>
            <w:proofErr w:type="gramEnd"/>
            <w:r w:rsidRPr="00CD0DDC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* рост инвестиционной активности приводит к увеличению налоговых отчислений (налог на прибыль, налог на дивиденды).</w:t>
            </w:r>
          </w:p>
          <w:p w:rsidR="004E1BD4" w:rsidRPr="00A8147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BD4" w:rsidRPr="00BA79FB" w:rsidTr="008D5D1D">
        <w:tc>
          <w:tcPr>
            <w:tcW w:w="3516" w:type="dxa"/>
            <w:shd w:val="clear" w:color="auto" w:fill="auto"/>
          </w:tcPr>
          <w:p w:rsidR="004E1BD4" w:rsidRPr="00BA79F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Ресурсы проекта(включая смету проекта)</w:t>
            </w:r>
          </w:p>
        </w:tc>
        <w:tc>
          <w:tcPr>
            <w:tcW w:w="6265" w:type="dxa"/>
            <w:shd w:val="clear" w:color="auto" w:fill="auto"/>
          </w:tcPr>
          <w:p w:rsidR="004E1BD4" w:rsidRPr="00BA79FB" w:rsidRDefault="00A8147B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Компьютер (системный блок), Монитор, Клавиатура, Компьютерная мышь, Смартфон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Xiaomi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Redmi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 11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Pro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, Бумага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SvetoCopy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 (А4),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Степлер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 канцелярский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ErichKrause</w:t>
            </w:r>
            <w:proofErr w:type="spellEnd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 xml:space="preserve">, Скобы для </w:t>
            </w:r>
            <w:proofErr w:type="spellStart"/>
            <w:r w:rsidRPr="00BA79FB">
              <w:rPr>
                <w:rFonts w:cs="Times New Roman"/>
                <w:color w:val="1A1A1A"/>
                <w:sz w:val="24"/>
                <w:szCs w:val="24"/>
                <w:shd w:val="clear" w:color="auto" w:fill="FFFFFF"/>
              </w:rPr>
              <w:t>степлера</w:t>
            </w:r>
            <w:proofErr w:type="spellEnd"/>
          </w:p>
        </w:tc>
      </w:tr>
      <w:tr w:rsidR="004E1BD4" w:rsidRPr="00BA79FB" w:rsidTr="008D5D1D">
        <w:tc>
          <w:tcPr>
            <w:tcW w:w="3516" w:type="dxa"/>
            <w:shd w:val="clear" w:color="auto" w:fill="auto"/>
          </w:tcPr>
          <w:p w:rsidR="004E1BD4" w:rsidRPr="00BA79FB" w:rsidRDefault="004E1BD4" w:rsidP="008D5D1D">
            <w:pPr>
              <w:ind w:firstLine="34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Список</w:t>
            </w:r>
            <w:r w:rsidRPr="00BA79FB">
              <w:rPr>
                <w:rFonts w:eastAsia="Calibri" w:cs="Times New Roman"/>
                <w:sz w:val="24"/>
                <w:szCs w:val="24"/>
              </w:rPr>
              <w:t xml:space="preserve"> использованной литературы и интернет-источников</w:t>
            </w:r>
          </w:p>
        </w:tc>
        <w:tc>
          <w:tcPr>
            <w:tcW w:w="6265" w:type="dxa"/>
            <w:shd w:val="clear" w:color="auto" w:fill="auto"/>
          </w:tcPr>
          <w:p w:rsidR="00CD0DDC" w:rsidRPr="00BA79FB" w:rsidRDefault="00CD0DDC" w:rsidP="00BA79F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4.1. Нормативно-правовые акты: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1. Налоговый кодекс Российской Федерации (часть вторая) от 05.08.2000 № 117-ФЗ (ред. от 28.02.2026). – Ст. 214.1, 214.9, 219.1.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2. Федеральный закон «О рынке ценных бумаг» от 22.04.1996 № 39-ФЗ (ред. от 08.01.2026).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3. Федеральный закон «О защите прав и законных интересов инвесторов на рынке ценных бумаг» от 05.03.1999 № 46-ФЗ.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4.2. Специализированная литература: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Грэм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, Б. Разумный инвестор. Полное руководство по стоимостному инвестированию / Бенджамин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Грэм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. – М.: Альпина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Паблишер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, 2023. – 568 с.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Кийосаки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, Р. Богатый папа, бедный папа / Роберт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Кийосаки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. – М.: Попурри, 2022. – 384 с.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6. Бодо, Ш. Инвестиции / Шарп Уильям Ф.,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Александер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Гордон Дж.,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Бэйли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Джеффри В. – М.: ИНФРА-М, 2021. – 1028 с.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7. Марков, И. Инвестиции в российские акции: от новичка до профи / Илья Марков. – СПб.: Питер, 2024. – 256 с.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4.3. Интернет-источники: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8. Официальный сайт Московской биржи [Электронный ресурс]. – Режим доступа: </w:t>
            </w:r>
            <w:hyperlink r:id="rId5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https://www.moex.com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20.03.2026).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9. Официальный сайт Банка России. Финансовые рынки [Электронный ресурс]. – Режим доступа: </w:t>
            </w:r>
            <w:hyperlink r:id="rId6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https://cbr.ru/finmarkets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21.03.2026).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10. НАУФОР – Национальная ассоциация участников фондового рынка. Аналитика и статистика [Электронный ресурс]. – Режим доступа: </w:t>
            </w:r>
            <w:hyperlink r:id="rId7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https://naufor.ru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22.03.2026).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11. Информационный портал 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SmartLab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 xml:space="preserve"> [Электронный ресурс]. – Режим доступа: </w:t>
            </w:r>
            <w:hyperlink r:id="rId8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https://smart-lab.ru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20.03.2026).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12. БКС Экспресс. Обзоры рынка и аналитика [Электронный ресурс]. – Режим доступа: </w:t>
            </w:r>
            <w:hyperlink r:id="rId9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https://bcs-express.ru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21.03.2026).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13. Финансовый портал Investing.com [Электронный ресурс]. – Режим доступа: </w:t>
            </w:r>
            <w:hyperlink r:id="rId10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https://ru.investing.com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22.03.2026).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14. Годовые отчёты ПАО «Сбербанк» [Электронный ресурс]. – Режим доступа: </w:t>
            </w:r>
            <w:hyperlink r:id="rId11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https://www.sberbank.com/ru/investor-relations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19.03.2026).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15. Годовые отчёты ПАО «Газпром» [Электронный ресурс]. – Режим доступа: </w:t>
            </w:r>
            <w:hyperlink r:id="rId12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https://www.gazprom.ru/investors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19.03.2026).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16. Годовые отчёты ПАО «Лукойл» [Электронный ресурс]. – Режим доступа: </w:t>
            </w:r>
            <w:hyperlink r:id="rId13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https://www.lukoil.ru/InvestorCenter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19.03.2026).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17. Годовые отчёты ПАО «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» [Электронный ресурс]. – Режим доступа: </w:t>
            </w:r>
            <w:hyperlink r:id="rId14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https://www.transneft.ru/investors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20.03.2026).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18. Годовые отчёты ПАО «</w:t>
            </w:r>
            <w:proofErr w:type="spellStart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Новатэк</w:t>
            </w:r>
            <w:proofErr w:type="spellEnd"/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» [Электронный ресурс]. – Режим доступа: </w:t>
            </w:r>
            <w:hyperlink r:id="rId15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https://www.novatek.ru/ru/investors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20.03.2026).</w:t>
            </w:r>
          </w:p>
          <w:p w:rsidR="00CD0DDC" w:rsidRPr="00BA79FB" w:rsidRDefault="00CD0DDC" w:rsidP="00BA79FB">
            <w:pPr>
              <w:shd w:val="clear" w:color="auto" w:fill="FFFFFF"/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</w:pPr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19. Официальный сайт ПАО «Московская биржа». Дивидендная политика [Электронный ресурс]. – Режим доступа: </w:t>
            </w:r>
            <w:hyperlink r:id="rId16" w:tgtFrame="_blank" w:history="1">
              <w:r w:rsidRPr="00BA79FB">
                <w:rPr>
                  <w:rFonts w:eastAsia="Times New Roman" w:cs="Times New Roman"/>
                  <w:color w:val="0077FF"/>
                  <w:sz w:val="24"/>
                  <w:szCs w:val="24"/>
                  <w:u w:val="single"/>
                  <w:lang w:eastAsia="ru-RU"/>
                </w:rPr>
                <w:t>https://www.moex.com/ru/ir/dividends</w:t>
              </w:r>
            </w:hyperlink>
            <w:r w:rsidRPr="00BA79FB">
              <w:rPr>
                <w:rFonts w:eastAsia="Times New Roman" w:cs="Times New Roman"/>
                <w:color w:val="1A1A1A"/>
                <w:sz w:val="24"/>
                <w:szCs w:val="24"/>
                <w:lang w:eastAsia="ru-RU"/>
              </w:rPr>
              <w:t> (дата обращения: 21.03.2026).</w:t>
            </w:r>
          </w:p>
          <w:p w:rsidR="004E1BD4" w:rsidRPr="00BA79FB" w:rsidRDefault="004E1BD4" w:rsidP="00BA79FB">
            <w:pPr>
              <w:ind w:firstLine="3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725E8F" w:rsidRPr="00BA79FB" w:rsidRDefault="00725E8F">
      <w:pPr>
        <w:rPr>
          <w:rFonts w:cs="Times New Roman"/>
          <w:sz w:val="24"/>
          <w:szCs w:val="24"/>
        </w:rPr>
      </w:pPr>
    </w:p>
    <w:sectPr w:rsidR="00725E8F" w:rsidRPr="00BA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AB4"/>
    <w:multiLevelType w:val="hybridMultilevel"/>
    <w:tmpl w:val="FDD0B12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46850F18"/>
    <w:multiLevelType w:val="hybridMultilevel"/>
    <w:tmpl w:val="6472BE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035272"/>
    <w:rsid w:val="00402404"/>
    <w:rsid w:val="004C4949"/>
    <w:rsid w:val="004E1BD4"/>
    <w:rsid w:val="005A2C47"/>
    <w:rsid w:val="00725E8F"/>
    <w:rsid w:val="00A8147B"/>
    <w:rsid w:val="00B5079F"/>
    <w:rsid w:val="00BA79FB"/>
    <w:rsid w:val="00CD0DDC"/>
    <w:rsid w:val="00F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B4B88-0C79-458D-ABE3-8FD15A48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D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4E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5A2C47"/>
  </w:style>
  <w:style w:type="character" w:styleId="a4">
    <w:name w:val="Hyperlink"/>
    <w:basedOn w:val="a0"/>
    <w:uiPriority w:val="99"/>
    <w:semiHidden/>
    <w:unhideWhenUsed/>
    <w:rsid w:val="00CD0D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7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-lab.ru/" TargetMode="External"/><Relationship Id="rId13" Type="http://schemas.openxmlformats.org/officeDocument/2006/relationships/hyperlink" Target="https://www.lukoil.ru/InvestorCent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ufor.ru/" TargetMode="External"/><Relationship Id="rId12" Type="http://schemas.openxmlformats.org/officeDocument/2006/relationships/hyperlink" Target="https://www.gazprom.ru/investo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ex.com/ru/ir/dividen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br.ru/finmarkets" TargetMode="External"/><Relationship Id="rId11" Type="http://schemas.openxmlformats.org/officeDocument/2006/relationships/hyperlink" Target="https://www.sberbank.com/ru/investor-relations" TargetMode="External"/><Relationship Id="rId5" Type="http://schemas.openxmlformats.org/officeDocument/2006/relationships/hyperlink" Target="https://www.moex.com/" TargetMode="External"/><Relationship Id="rId15" Type="http://schemas.openxmlformats.org/officeDocument/2006/relationships/hyperlink" Target="https://www.novatek.ru/ru/investors" TargetMode="External"/><Relationship Id="rId10" Type="http://schemas.openxmlformats.org/officeDocument/2006/relationships/hyperlink" Target="https://ru.invest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s-express.ru/" TargetMode="External"/><Relationship Id="rId14" Type="http://schemas.openxmlformats.org/officeDocument/2006/relationships/hyperlink" Target="https://www.transneft.ru/inves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2026-03-15T11:21:00Z</dcterms:created>
  <dcterms:modified xsi:type="dcterms:W3CDTF">2026-03-25T15:58:00Z</dcterms:modified>
</cp:coreProperties>
</file>